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26-159</w:t>
      </w:r>
    </w:p>
    <w:p>
      <w:pPr>
        <w:spacing w:before="0" w:after="0" w:line="480"/>
        <w:ind w:left="120"/>
        <w:jc w:val="left"/>
      </w:pPr>
    </w:p>
    <w:p>
      <w:pPr>
        <w:spacing w:before="0" w:after="0" w:line="480"/>
        <w:ind w:left="120"/>
        <w:jc w:val="center"/>
      </w:pPr>
      <w:r>
        <w:rPr>
          <w:rFonts w:ascii="Times New Roman" w:hAnsi="Times New Roman"/>
          <w:b/>
          <w:i w:val="false"/>
          <w:color w:val="000000"/>
          <w:sz w:val="28"/>
        </w:rPr>
        <w:t>NATURAL RESOURCE COMMISSION[571]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571—96.10(481A)</w:t>
      </w:r>
    </w:p>
    <w:p>
      <w:pPr>
        <w:spacing w:before="0" w:after="0" w:line="480"/>
        <w:ind w:left="120"/>
        <w:jc w:val="center"/>
      </w:pPr>
      <w:r>
        <w:rPr>
          <w:rFonts w:ascii="Times New Roman" w:hAnsi="Times New Roman"/>
          <w:b w:val="false"/>
          <w:i w:val="false"/>
          <w:color w:val="000000"/>
          <w:sz w:val="24"/>
        </w:rPr>
        <w:t>“Small Game Hunting by Nonresidents”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481A.38, 481A.39, and 481A.48</w:t>
      </w:r>
    </w:p>
    <w:p>
      <w:pPr>
        <w:spacing w:before="0" w:after="0" w:line="480"/>
        <w:ind w:left="120"/>
        <w:jc w:val="both"/>
      </w:pPr>
      <w:r>
        <w:rPr>
          <w:rFonts w:ascii="Times New Roman" w:hAnsi="Times New Roman"/>
          <w:b w:val="false"/>
          <w:i w:val="false"/>
          <w:color w:val="000000"/>
          <w:sz w:val="24"/>
        </w:rPr>
        <w:t>State or federal law(s) implemented by the rulemaking: Iowa Code sections 481A.38, 481A.39, and 481A.48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Des Moines, Iowa</w:t>
            </w:r>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of Natural Resources (Department) at </w:t>
      </w:r>
      <w:hyperlink r:id="rId4">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or </w:t>
      </w:r>
      <w:hyperlink r:id="rId5">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515.250.6886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6">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 </w:t>
      </w:r>
      <w:hyperlink r:id="rId7">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515.250.6886 al menos siete días antes del evento.</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 Ensminger</w:t>
            </w:r>
            <w:r>
              <w:br/>
            </w:r>
            <w:r>
              <w:rPr>
                <w:rFonts w:ascii="Times New Roman" w:hAnsi="Times New Roman"/>
                <w:b w:val="false"/>
                <w:i w:val="false"/>
                <w:color w:val="000000"/>
                <w:sz w:val="14"/>
              </w:rPr>
              <w:t>Department of Natural Resources</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515.250.6886</w:t>
            </w:r>
            <w:r>
              <w:br/>
            </w:r>
            <w:r>
              <w:rPr>
                <w:rFonts w:ascii="Times New Roman" w:hAnsi="Times New Roman"/>
                <w:b w:val="false"/>
                <w:i w:val="false"/>
                <w:color w:val="000000"/>
                <w:sz w:val="14"/>
              </w:rPr>
              <w:t xml:space="preserve">Email: </w:t>
            </w:r>
            <w:hyperlink r:id="rId8">
              <w:r>
                <w:rPr>
                  <w:rStyle w:val="Hyperlink"/>
                  <w:rFonts w:ascii="Times New Roman" w:hAnsi="Times New Roman"/>
                  <w:b w:val="false"/>
                  <w:i w:val="false"/>
                  <w:color w:val="0000ff"/>
                  <w:sz w:val="14"/>
                </w:rPr>
                <w:t>chris.ensminger@dnr.iowa.gov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Access: If you speak a non-English language, the Department offers language assistance services free of charge. Contact the Department at </w:t>
      </w:r>
      <w:hyperlink r:id="rId9">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Asistencia lingüística gratuita: Si habla un idioma que no sea el inglés, los servicios de asistencia lingüística están disponibles de forma gratuita, comuníquese con el Departamento al </w:t>
      </w:r>
      <w:hyperlink r:id="rId10">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96 governs small game hunting by residents and nonresidents in the State of Iowa. This chapter also sets forth season dates, bag limits, possession limits, shooting hours, areas open to hunting, and transportation requirements. The proposed rule defines annual nonresident small game hunting license parameters and designates resident only hunting periods on public lands.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Iowa small game hunters will bear the costs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 small game hunters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rule does not change the fees for small game hunting licenses.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 will more evenly distribute small game hunting pressure on public land, providing for a safer and more enjoyable experience for resident and nonresident hunters. Additionally, a typical nonresident hunter spends five days or less hunting small game in Iowa annually. The proposed rule provides for up to 14 days of hunting on an annual license with the option to purchase multiple annual licenses.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agency’s primary cost is from staff time to implement and enforce the rules. This includes Wildlife Bureau staff to administer, coordinate, and monitor the hunting seasons and also effort from conservation officers to ensure safe and compliant hunting takes place. However, no staff work exclusively on small game hunting-related matters.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 is not expected to result in any changes to State revenue.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public does not have any costs to comply with the process and requirements set forth in these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could not identify less costly or less intrusive methods for achieving the purpose of this rule. Other states have similar regulations and strive to manage their small game populations at a balance between recreational opportunities and negative interactions.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identified to effectively manage Iowa’s small game populations.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 is not expected to have any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571—96.10</w:t>
      </w:r>
      <w:r>
        <w:rPr>
          <w:rFonts w:ascii="Times New Roman" w:hAnsi="Times New Roman"/>
          <w:b w:val="false"/>
          <w:i w:val="false"/>
          <w:color w:val="000000"/>
          <w:sz w:val="24"/>
        </w:rPr>
        <w:t>(481A):</w:t>
      </w:r>
    </w:p>
    <w:p>
      <w:pPr>
        <w:spacing w:before="0" w:after="0" w:line="480"/>
        <w:ind w:left="120"/>
        <w:jc w:val="both"/>
      </w:pPr>
      <w:r>
        <w:rPr>
          <w:rFonts w:ascii="Times New Roman" w:hAnsi="Times New Roman"/>
          <w:b/>
          <w:i w:val="false"/>
          <w:color w:val="000000"/>
          <w:sz w:val="24"/>
        </w:rPr>
        <w:t>571—96.10</w:t>
      </w:r>
      <w:r>
        <w:rPr>
          <w:rFonts w:ascii="Times New Roman" w:hAnsi="Times New Roman"/>
          <w:b/>
          <w:i w:val="false"/>
          <w:color w:val="000000"/>
          <w:sz w:val="24"/>
        </w:rPr>
        <w:t xml:space="preserve">(481A) </w:t>
      </w:r>
      <w:r>
        <w:rPr>
          <w:rFonts w:ascii="Times New Roman" w:hAnsi="Times New Roman"/>
          <w:b/>
          <w:i w:val="false"/>
          <w:color w:val="000000"/>
          <w:sz w:val="24"/>
        </w:rPr>
        <w:t xml:space="preserve">Small game hunting by nonresidents.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96.10(1)</w:t>
      </w:r>
      <w:r>
        <w:rPr>
          <w:rFonts w:ascii="Times New Roman" w:hAnsi="Times New Roman"/>
          <w:b w:val="false"/>
          <w:i w:val="false"/>
          <w:color w:val="000000"/>
          <w:sz w:val="24"/>
        </w:rPr>
        <w:t> </w:t>
      </w:r>
      <w:r>
        <w:rPr>
          <w:rFonts w:ascii="Times New Roman" w:hAnsi="Times New Roman"/>
          <w:b w:val="false"/>
          <w:i w:val="false"/>
          <w:color w:val="000000"/>
          <w:sz w:val="24"/>
        </w:rPr>
        <w:t>Small game species for nonresident hunting include pheasant, quail, partridge, grouse, dove, rabbit, and squirrel.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96.10(2)</w:t>
      </w:r>
      <w:r>
        <w:rPr>
          <w:rFonts w:ascii="Times New Roman" w:hAnsi="Times New Roman"/>
          <w:b w:val="false"/>
          <w:i w:val="false"/>
          <w:color w:val="000000"/>
          <w:sz w:val="24"/>
        </w:rPr>
        <w:t> </w:t>
      </w:r>
      <w:r>
        <w:rPr>
          <w:rFonts w:ascii="Times New Roman" w:hAnsi="Times New Roman"/>
          <w:b w:val="false"/>
          <w:i w:val="false"/>
          <w:color w:val="000000"/>
          <w:sz w:val="24"/>
        </w:rPr>
        <w:t>Nonresident small game hunters purchasing a nonresident annual hunting license shall be limited to two 7-day periods totaling not more than 14 days per annual license purchased. Multiple nonresident annual hunting licenses may be purchased.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two seven-day periods must be designated at the time the annual license is purchased and may be consecutive. The seven-day periods must fall within the season dates defined in rules </w:t>
      </w:r>
      <w:hyperlink r:id="rId11">
        <w:r>
          <w:rPr>
            <w:rStyle w:val="Hyperlink"/>
            <w:rFonts w:ascii="Times New Roman" w:hAnsi="Times New Roman"/>
            <w:b w:val="false"/>
            <w:i w:val="false"/>
            <w:color w:val="000000"/>
            <w:sz w:val="24"/>
          </w:rPr>
          <w:t>571—96.1</w:t>
        </w:r>
      </w:hyperlink>
      <w:r>
        <w:rPr>
          <w:rFonts w:ascii="Times New Roman" w:hAnsi="Times New Roman"/>
          <w:b w:val="false"/>
          <w:i w:val="false"/>
          <w:color w:val="000000"/>
          <w:sz w:val="24"/>
        </w:rPr>
        <w:t xml:space="preserve">(481A) through </w:t>
      </w:r>
      <w:hyperlink r:id="rId12">
        <w:r>
          <w:rPr>
            <w:rStyle w:val="Hyperlink"/>
            <w:rFonts w:ascii="Times New Roman" w:hAnsi="Times New Roman"/>
            <w:b w:val="false"/>
            <w:i w:val="false"/>
            <w:color w:val="000000"/>
            <w:sz w:val="24"/>
          </w:rPr>
          <w:t>571—96.4</w:t>
        </w:r>
      </w:hyperlink>
      <w:r>
        <w:rPr>
          <w:rFonts w:ascii="Times New Roman" w:hAnsi="Times New Roman"/>
          <w:b w:val="false"/>
          <w:i w:val="false"/>
          <w:color w:val="000000"/>
          <w:sz w:val="24"/>
        </w:rPr>
        <w:t>(481A) and this rule, except: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Small game hunting by nonresidents is not allowed on public land during the first seven days of the pheasant season as defined in </w:t>
      </w:r>
      <w:hyperlink r:id="rId13">
        <w:r>
          <w:rPr>
            <w:rStyle w:val="Hyperlink"/>
            <w:rFonts w:ascii="Times New Roman" w:hAnsi="Times New Roman"/>
            <w:b w:val="false"/>
            <w:i w:val="false"/>
            <w:color w:val="000000"/>
            <w:sz w:val="24"/>
          </w:rPr>
          <w:t>571—subrule 96.1(1)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Rabbit, squirrel, and grouse hunting by nonresidents is not allowed on public land from the third Saturday in October through the third Saturday in November.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96.10(4)</w:t>
      </w:r>
      <w:r>
        <w:rPr>
          <w:rFonts w:ascii="Times New Roman" w:hAnsi="Times New Roman"/>
          <w:b w:val="false"/>
          <w:i w:val="false"/>
          <w:color w:val="000000"/>
          <w:sz w:val="24"/>
        </w:rPr>
        <w:t> </w:t>
      </w:r>
      <w:r>
        <w:rPr>
          <w:rFonts w:ascii="Times New Roman" w:hAnsi="Times New Roman"/>
          <w:b w:val="false"/>
          <w:i w:val="false"/>
          <w:color w:val="000000"/>
          <w:sz w:val="24"/>
        </w:rPr>
        <w:t>A designated period may be changed prior to the beginning date of the period by contacting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96.10(5)</w:t>
      </w:r>
      <w:r>
        <w:rPr>
          <w:rFonts w:ascii="Times New Roman" w:hAnsi="Times New Roman"/>
          <w:b w:val="false"/>
          <w:i w:val="false"/>
          <w:color w:val="000000"/>
          <w:sz w:val="24"/>
        </w:rPr>
        <w:t> </w:t>
      </w:r>
      <w:r>
        <w:rPr>
          <w:rFonts w:ascii="Times New Roman" w:hAnsi="Times New Roman"/>
          <w:b w:val="false"/>
          <w:i w:val="false"/>
          <w:color w:val="000000"/>
          <w:sz w:val="24"/>
        </w:rPr>
        <w:t>The nonresident five-day hunting license may be purchased independently or in conjunction with a nonresident annual hunting license.</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hris.ensminger@dnr.iowa.gov" Type="http://schemas.openxmlformats.org/officeDocument/2006/relationships/hyperlink" Id="rId4"/>
    <Relationship TargetMode="External" Target="mailto:civilrights@dnr.iowa.gov" Type="http://schemas.openxmlformats.org/officeDocument/2006/relationships/hyperlink" Id="rId5"/>
    <Relationship TargetMode="External" Target="mailto:chris.ensminger@dnr.iowa.gov" Type="http://schemas.openxmlformats.org/officeDocument/2006/relationships/hyperlink" Id="rId6"/>
    <Relationship TargetMode="External" Target="mailto:civilrights@dnr.iowa.gov" Type="http://schemas.openxmlformats.org/officeDocument/2006/relationships/hyperlink" Id="rId7"/>
    <Relationship TargetMode="External" Target="mailto:chris.ensminger@dnr.iowa.gov" Type="http://schemas.openxmlformats.org/officeDocument/2006/relationships/hyperlink" Id="rId8"/>
    <Relationship TargetMode="External" Target="mailto:chris.ensminger@dnr.iowa.gov" Type="http://schemas.openxmlformats.org/officeDocument/2006/relationships/hyperlink" Id="rId9"/>
    <Relationship TargetMode="External" Target="mailto:chris.ensminger@dnr.iowa.gov" Type="http://schemas.openxmlformats.org/officeDocument/2006/relationships/hyperlink" Id="rId10"/>
    <Relationship TargetMode="External" Target="https://www.legis.iowa.gov/docs/iac/rule/571.96.1.pdf" Type="http://schemas.openxmlformats.org/officeDocument/2006/relationships/hyperlink" Id="rId11"/>
    <Relationship TargetMode="External" Target="https://www.legis.iowa.gov/docs/iac/rule/571.96.4.pdf" Type="http://schemas.openxmlformats.org/officeDocument/2006/relationships/hyperlink" Id="rId12"/>
    <Relationship TargetMode="External" Target="https://www.legis.iowa.gov/docs/iac/rule/571.96.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